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18 февраля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Гнездилов Тимофей Сергеевич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18.02.2026 г.р., паспорт 5213 242656, выдан Отделом УФМС России по Омской области в Омском районе, 13.08.2013 г., зарегистрирован по адресу: Омская обл., п.Ростовка,д.14,кв.66,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82/Ш4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18.02.2026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82, 12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Шестьсот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Гнездилов Тимофей Сергеевич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Т.С. Гнездилов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